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100" w:line="579" w:lineRule="exact"/>
        <w:rPr>
          <w:rFonts w:ascii="黑体" w:hAnsi="黑体" w:eastAsia="黑体" w:cs="黑体"/>
          <w:bCs/>
          <w:sz w:val="44"/>
          <w:szCs w:val="44"/>
        </w:rPr>
      </w:pPr>
    </w:p>
    <w:p>
      <w:pPr>
        <w:spacing w:line="360" w:lineRule="auto"/>
        <w:jc w:val="center"/>
        <w:rPr>
          <w:rFonts w:ascii="黑体" w:hAnsi="黑体" w:eastAsia="黑体" w:cs="黑体"/>
          <w:sz w:val="44"/>
          <w:szCs w:val="44"/>
        </w:rPr>
      </w:pPr>
      <w:r>
        <w:rPr>
          <w:rFonts w:hint="eastAsia" w:ascii="黑体" w:hAnsi="黑体" w:eastAsia="黑体" w:cs="黑体"/>
          <w:bCs/>
          <w:sz w:val="44"/>
          <w:szCs w:val="44"/>
        </w:rPr>
        <w:t>淮安仲裁委员会章程</w:t>
      </w:r>
    </w:p>
    <w:p>
      <w:pPr>
        <w:spacing w:beforeLines="50" w:afterLines="50" w:line="560" w:lineRule="exact"/>
        <w:jc w:val="center"/>
        <w:rPr>
          <w:rFonts w:ascii="仿宋_GB2312" w:eastAsia="仿宋_GB2312"/>
          <w:sz w:val="28"/>
          <w:szCs w:val="28"/>
        </w:rPr>
      </w:pPr>
      <w:r>
        <w:rPr>
          <w:rFonts w:hint="eastAsia" w:ascii="黑体" w:hAnsi="黑体" w:eastAsia="黑体" w:cs="黑体"/>
          <w:bCs/>
          <w:sz w:val="32"/>
          <w:szCs w:val="32"/>
        </w:rPr>
        <w:t>第一章 总  则</w:t>
      </w:r>
    </w:p>
    <w:p>
      <w:pPr>
        <w:spacing w:line="480" w:lineRule="exact"/>
        <w:rPr>
          <w:rFonts w:ascii="仿宋_GB2312" w:hAnsi="仿宋_GB2312" w:eastAsia="仿宋_GB2312" w:cs="仿宋_GB2312"/>
          <w:spacing w:val="-6"/>
          <w:sz w:val="32"/>
          <w:szCs w:val="32"/>
        </w:rPr>
      </w:pPr>
      <w:r>
        <w:rPr>
          <w:rFonts w:hint="eastAsia" w:ascii="仿宋_GB2312" w:eastAsia="仿宋_GB2312"/>
          <w:spacing w:val="-6"/>
          <w:sz w:val="28"/>
          <w:szCs w:val="28"/>
        </w:rPr>
        <w:t xml:space="preserve">    </w:t>
      </w:r>
      <w:r>
        <w:rPr>
          <w:rFonts w:hint="eastAsia" w:ascii="仿宋_GB2312" w:hAnsi="仿宋_GB2312" w:eastAsia="仿宋_GB2312" w:cs="仿宋_GB2312"/>
          <w:spacing w:val="-6"/>
          <w:sz w:val="32"/>
          <w:szCs w:val="32"/>
        </w:rPr>
        <w:t>第一条 为了规范淮安仲裁委员会（以下简称本委）的行为，保证公正、及时地仲裁经济纠纷，保护当事人的合法权益，根据《中华人民共和国仲裁法》（以下简称仲裁法），制定本章程。</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第二条 平等主体的公民、法人和其他组织之间发生合同纠纷和其他财产权益纠纷，可以依法向本委申请仲裁。</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涉外仲裁案件的当事人自愿选择本委仲裁的，本委可以受理。    </w:t>
      </w:r>
    </w:p>
    <w:p>
      <w:pPr>
        <w:pStyle w:val="4"/>
        <w:tabs>
          <w:tab w:val="left" w:pos="5820"/>
        </w:tabs>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本委依法不受理或不能仲裁下列纠纷：</w:t>
      </w:r>
      <w:r>
        <w:rPr>
          <w:rFonts w:hint="eastAsia" w:ascii="仿宋_GB2312" w:hAnsi="仿宋_GB2312" w:eastAsia="仿宋_GB2312" w:cs="仿宋_GB2312"/>
          <w:sz w:val="32"/>
          <w:szCs w:val="32"/>
        </w:rPr>
        <w:tab/>
      </w:r>
    </w:p>
    <w:p>
      <w:pPr>
        <w:pStyle w:val="4"/>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（一）劳动争议和农业集体经济组织内部的农业承包合同纠纷；</w:t>
      </w:r>
    </w:p>
    <w:p>
      <w:pPr>
        <w:pStyle w:val="4"/>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（二）婚姻、收养、监护、扶养、继承纠纷；</w:t>
      </w:r>
    </w:p>
    <w:p>
      <w:pPr>
        <w:pStyle w:val="4"/>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（三）依法应当由行政机关处理的行政争议。</w:t>
      </w:r>
    </w:p>
    <w:p>
      <w:pPr>
        <w:spacing w:line="480" w:lineRule="exact"/>
        <w:ind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第三条 本委会址设在淮安市。</w:t>
      </w:r>
    </w:p>
    <w:p>
      <w:pPr>
        <w:spacing w:beforeLines="100" w:afterLines="100" w:line="480" w:lineRule="exact"/>
        <w:jc w:val="center"/>
        <w:rPr>
          <w:rFonts w:ascii="仿宋_GB2312" w:hAnsi="仿宋_GB2312" w:eastAsia="仿宋_GB2312" w:cs="仿宋_GB2312"/>
          <w:sz w:val="32"/>
          <w:szCs w:val="32"/>
        </w:rPr>
      </w:pPr>
      <w:r>
        <w:rPr>
          <w:rFonts w:hint="eastAsia" w:ascii="黑体" w:hAnsi="黑体" w:eastAsia="黑体" w:cs="黑体"/>
          <w:bCs/>
          <w:sz w:val="32"/>
          <w:szCs w:val="32"/>
        </w:rPr>
        <w:t>第二章 仲裁委员会</w:t>
      </w:r>
    </w:p>
    <w:p>
      <w:pPr>
        <w:spacing w:line="480" w:lineRule="exact"/>
        <w:ind w:firstLine="555"/>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第四条　本委由主任1人、副主任2至4人和委员7至11人组成。   </w:t>
      </w:r>
    </w:p>
    <w:p>
      <w:pPr>
        <w:spacing w:line="480" w:lineRule="exact"/>
        <w:ind w:firstLine="555"/>
        <w:rPr>
          <w:rFonts w:ascii="仿宋_GB2312" w:hAnsi="仿宋_GB2312" w:eastAsia="仿宋_GB2312" w:cs="仿宋_GB2312"/>
          <w:sz w:val="32"/>
          <w:szCs w:val="32"/>
        </w:rPr>
      </w:pPr>
      <w:r>
        <w:rPr>
          <w:rFonts w:hint="eastAsia" w:ascii="仿宋_GB2312" w:hAnsi="仿宋_GB2312" w:eastAsia="仿宋_GB2312" w:cs="仿宋_GB2312"/>
          <w:sz w:val="32"/>
          <w:szCs w:val="32"/>
        </w:rPr>
        <w:t>本委设秘书长1人,副秘书长若干人。秘书长或副秘书长可以由驻会专职组成人员兼任。</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符合《中华人民共和国仲裁法》第十二条规定条件人员可聘任为本委委员。</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第五条 本委每届任期5年。因特殊情况，可提前或推迟换届。</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上一届仲裁委员会履行职责到新一届仲裁委员会组成为止。</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第六条 新一届仲裁委员会组成人员由上一届仲裁委员会主任会议商请淮安市人民政府有关部门会商后提名，由淮安市人民政府聘任。</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第七条 本委委员会会议由主任或者主任书面委托的副主任主持。每次会议须有2/3以上的组成人员出席，方能举行。修改章程或者对仲裁委员会作出解散决议，须经全体组成人员的2/3以上通过，其他决议须经出席会议组成人员的2/3以上通过。</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第八条 仲裁委员会会议的主要职责是：</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（一）审议仲裁委员会的工作方针、工作计划等重要事项，并作出相应的决议；</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（二）审议、通过仲裁委员会秘书长提出的年度工作报告和财务报告；</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（三）审议、通过仲裁委员会办事机构设置方案；</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（四）决定仲裁员的聘任、解聘和除名；</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（五）决定仲裁委员会主任担任仲裁员时，是否回避；</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（六）修改仲裁委员会章程；</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（七）决议解散仲裁委员会；</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（八）仲裁法、仲裁暂行规则和本章程规定的其他职责。</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第九条 本委由主任、副主任、秘书长和副秘书长组成主任会议，在仲裁委员会会议闭会期间，负责仲裁委员会的重要日常工作。</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第十条 本委可以根据需要设立专家委员会为本委发展提供战略性建议，设立专家咨询委员会为本委提供疑难案件的咨询意见。</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专家委员会和专家咨询委员会各设负责人1人。</w:t>
      </w:r>
    </w:p>
    <w:p>
      <w:pPr>
        <w:spacing w:line="480" w:lineRule="exact"/>
        <w:ind w:firstLine="555"/>
        <w:rPr>
          <w:rFonts w:ascii="仿宋_GB2312" w:hAnsi="仿宋_GB2312" w:eastAsia="仿宋_GB2312" w:cs="仿宋_GB2312"/>
          <w:sz w:val="32"/>
          <w:szCs w:val="32"/>
        </w:rPr>
      </w:pPr>
      <w:r>
        <w:rPr>
          <w:rFonts w:hint="eastAsia" w:ascii="仿宋_GB2312" w:hAnsi="仿宋_GB2312" w:eastAsia="仿宋_GB2312" w:cs="仿宋_GB2312"/>
          <w:sz w:val="32"/>
          <w:szCs w:val="32"/>
        </w:rPr>
        <w:t>第十一条 仲裁委员会会议作出解散决议并经淮安市人民政府同意．仲裁委员会应当终止。</w:t>
      </w:r>
    </w:p>
    <w:p>
      <w:pPr>
        <w:spacing w:beforeLines="100" w:afterLines="100" w:line="480" w:lineRule="exact"/>
        <w:jc w:val="center"/>
        <w:rPr>
          <w:rFonts w:ascii="黑体" w:hAnsi="黑体" w:eastAsia="黑体" w:cs="黑体"/>
          <w:bCs/>
          <w:sz w:val="32"/>
          <w:szCs w:val="32"/>
        </w:rPr>
      </w:pPr>
      <w:r>
        <w:rPr>
          <w:rFonts w:hint="eastAsia" w:ascii="黑体" w:hAnsi="黑体" w:eastAsia="黑体" w:cs="黑体"/>
          <w:bCs/>
          <w:sz w:val="32"/>
          <w:szCs w:val="32"/>
        </w:rPr>
        <w:t>第三章 办事机构</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第十二条 本委下设秘书处作为办事机构。秘书处在本委秘书长的领导下，处理本委日常工作。</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秘书处的主要职责是：</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（一）具体办理仲裁案件受理、仲裁文书送达、档案管理等程序性事务；</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（二）收取和管理仲裁费用；</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（三）本委的物资、设备管理及行政事务；</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（四）组织仲裁员学习业务知识，并可按地方、行业组织活动；</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（五）积极推行仲裁法的实施；</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（六）办理本委交办的其他事务。</w:t>
      </w:r>
    </w:p>
    <w:p>
      <w:pPr>
        <w:numPr>
          <w:ilvl w:val="0"/>
          <w:numId w:val="1"/>
        </w:numPr>
        <w:spacing w:line="480" w:lineRule="exact"/>
        <w:ind w:firstLine="555"/>
        <w:rPr>
          <w:rFonts w:ascii="仿宋_GB2312" w:hAnsi="仿宋_GB2312" w:eastAsia="仿宋_GB2312" w:cs="仿宋_GB2312"/>
          <w:sz w:val="32"/>
          <w:szCs w:val="32"/>
        </w:rPr>
      </w:pPr>
      <w:r>
        <w:rPr>
          <w:rFonts w:hint="eastAsia" w:ascii="仿宋_GB2312" w:hAnsi="仿宋_GB2312" w:eastAsia="仿宋_GB2312" w:cs="仿宋_GB2312"/>
          <w:sz w:val="32"/>
          <w:szCs w:val="32"/>
        </w:rPr>
        <w:t>秘书处内设行政管理部、仲裁事务部、仲裁联络部、研究咨询部和立案部。</w:t>
      </w:r>
    </w:p>
    <w:p>
      <w:pPr>
        <w:spacing w:line="480" w:lineRule="exact"/>
        <w:rPr>
          <w:rFonts w:ascii="仿宋_GB2312" w:hAnsi="仿宋_GB2312" w:eastAsia="仿宋_GB2312" w:cs="仿宋_GB2312"/>
          <w:sz w:val="32"/>
          <w:szCs w:val="32"/>
        </w:rPr>
      </w:pPr>
    </w:p>
    <w:p>
      <w:pPr>
        <w:spacing w:beforeLines="100" w:afterLines="100" w:line="480" w:lineRule="exact"/>
        <w:jc w:val="center"/>
        <w:rPr>
          <w:rFonts w:ascii="仿宋_GB2312" w:hAnsi="仿宋_GB2312" w:eastAsia="仿宋_GB2312" w:cs="仿宋_GB2312"/>
          <w:sz w:val="32"/>
          <w:szCs w:val="32"/>
        </w:rPr>
      </w:pPr>
      <w:r>
        <w:rPr>
          <w:rFonts w:hint="eastAsia" w:ascii="黑体" w:hAnsi="黑体" w:eastAsia="黑体" w:cs="黑体"/>
          <w:bCs/>
          <w:sz w:val="32"/>
          <w:szCs w:val="32"/>
        </w:rPr>
        <w:t>第四 章仲裁员</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第十四条 仲裁员名单由本委主任会议提出，经仲裁委员会会议审议通过后，由本委聘任。</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仲裁员的聘任期与本委每届任期相同，期满可以续聘。</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第十五条 仲裁委员会会议闭会期间，仲裁委员会授权主任会议决定聘任或解聘仲裁员。</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第十六条 仲裁委员会按照不同专业设立仲裁员名册。</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第十七条 仲裁员应当严格遵守仲裁规则的规定，保证当事人行使仲裁规则规定的权利。</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第十八条 仲裁员应当平等对待双方当事人，不得代表或者偏担任何一方当事人。</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第十九条 仲裁员接受案件后，应当认真、详细审阅当事人提交的全部证据和材料，做好审理的准备工作。</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第二十条 仲裁员开庭审理仲裁案件时，应当充分听取双方当事人的陈述，认真查明事实，做到公正、合法。</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第二十一条 仲裁员经仲裁庭或者仲裁委员会同意会见当事人、代理人的，应当在本委办公地点进行；未经仲裁庭或者仲裁委员会同意的．仲裁员不得私自会见任何一方当事人、代理人，不得单独接受一方当事人、代理人提供的证据、材料或者与一方当事人、代理人交谈有关仲裁案件情况。</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第二十二条 仲裁员应当在案件审理终结后及时进行合议，并按规定制作仲裁文书。</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第二十三条 仲裁员应当严格保守仲裁秘密，不得对外界透露案件审理过程、仲裁庭合议情况、案件涉及的秘密等内容。</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第二十四条 仲裁员有下列情形之一的，仲裁委员会应当予以解聘：</w:t>
      </w:r>
    </w:p>
    <w:p>
      <w:pPr>
        <w:spacing w:line="480" w:lineRule="exact"/>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 xml:space="preserve">    （一）</w:t>
      </w:r>
      <w:r>
        <w:rPr>
          <w:rFonts w:hint="eastAsia" w:ascii="仿宋_GB2312" w:hAnsi="仿宋_GB2312" w:eastAsia="仿宋_GB2312" w:cs="仿宋_GB2312"/>
          <w:spacing w:val="-6"/>
          <w:sz w:val="32"/>
          <w:szCs w:val="32"/>
        </w:rPr>
        <w:t>隐瞒应当回避的情形，对案件审理产生不良影响的；</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〔二）无正当理由不到庭审理案件的；</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（三）非正常原因长期没有办案的；</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（四）有不宜继续担任仲裁员的其他情形的。</w:t>
      </w:r>
    </w:p>
    <w:p>
      <w:pPr>
        <w:spacing w:line="480" w:lineRule="exact"/>
        <w:ind w:firstLine="555"/>
        <w:rPr>
          <w:rFonts w:ascii="仿宋_GB2312" w:hAnsi="仿宋_GB2312" w:eastAsia="仿宋_GB2312" w:cs="仿宋_GB2312"/>
          <w:sz w:val="32"/>
          <w:szCs w:val="32"/>
        </w:rPr>
      </w:pPr>
      <w:r>
        <w:rPr>
          <w:rFonts w:hint="eastAsia" w:ascii="仿宋_GB2312" w:hAnsi="仿宋_GB2312" w:eastAsia="仿宋_GB2312" w:cs="仿宋_GB2312"/>
          <w:sz w:val="32"/>
          <w:szCs w:val="32"/>
        </w:rPr>
        <w:t>第二十五条 仲裁员私自会见当事人、代理人或者接受当事人、代理人的请客送礼，或者在审理案件时有索贿受贿、拘私舞弊、枉法裁决行为的，应当依法承担法律责任，仲裁委员会应当将其除名。</w:t>
      </w:r>
    </w:p>
    <w:p>
      <w:pPr>
        <w:spacing w:beforeLines="100" w:afterLines="100" w:line="480" w:lineRule="exact"/>
        <w:jc w:val="center"/>
        <w:rPr>
          <w:rFonts w:ascii="仿宋_GB2312" w:hAnsi="仿宋_GB2312" w:eastAsia="仿宋_GB2312" w:cs="仿宋_GB2312"/>
          <w:sz w:val="32"/>
          <w:szCs w:val="32"/>
        </w:rPr>
      </w:pPr>
      <w:r>
        <w:rPr>
          <w:rFonts w:hint="eastAsia" w:ascii="黑体" w:hAnsi="黑体" w:eastAsia="黑体" w:cs="黑体"/>
          <w:bCs/>
          <w:sz w:val="32"/>
          <w:szCs w:val="32"/>
        </w:rPr>
        <w:t>第五章 财 务</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第二十六条 仲裁委员会的财务实行独立核算。</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第二十七条 仲裁委员会的经费来源是：</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（一）政府的拨款；</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（二）当事人交纳的仲裁费；</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（三）其他合法收人。</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第二十八条 仲裁委员会终止，应当对财产进行清算。</w:t>
      </w:r>
    </w:p>
    <w:p>
      <w:pPr>
        <w:spacing w:beforeLines="100" w:afterLines="100" w:line="480" w:lineRule="exact"/>
        <w:jc w:val="center"/>
        <w:rPr>
          <w:rFonts w:ascii="黑体" w:hAnsi="黑体" w:eastAsia="黑体" w:cs="黑体"/>
          <w:bCs/>
          <w:sz w:val="32"/>
          <w:szCs w:val="32"/>
        </w:rPr>
      </w:pPr>
      <w:r>
        <w:rPr>
          <w:rFonts w:hint="eastAsia" w:ascii="黑体" w:hAnsi="黑体" w:eastAsia="黑体" w:cs="黑体"/>
          <w:bCs/>
          <w:sz w:val="32"/>
          <w:szCs w:val="32"/>
        </w:rPr>
        <w:t>第六章 附 则</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第二十九条 本章程由淮安仲裁委员会负责解释。</w:t>
      </w:r>
    </w:p>
    <w:p>
      <w:pPr>
        <w:spacing w:line="480" w:lineRule="exact"/>
      </w:pPr>
      <w:r>
        <w:rPr>
          <w:rFonts w:hint="eastAsia" w:ascii="仿宋_GB2312" w:hAnsi="仿宋_GB2312" w:eastAsia="仿宋_GB2312" w:cs="仿宋_GB2312"/>
          <w:sz w:val="32"/>
          <w:szCs w:val="32"/>
        </w:rPr>
        <w:t>第三十条 本章程自淮安仲裁委员会会议通过之日起生效。</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9AF771"/>
    <w:multiLevelType w:val="singleLevel"/>
    <w:tmpl w:val="579AF771"/>
    <w:lvl w:ilvl="0" w:tentative="0">
      <w:start w:val="13"/>
      <w:numFmt w:val="chineseCounting"/>
      <w:suff w:val="space"/>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EzMWU5NzM2YTUzZGY4M2YwZDM2NGIxMmI3MTJiMTgifQ=="/>
  </w:docVars>
  <w:rsids>
    <w:rsidRoot w:val="00362BF4"/>
    <w:rsid w:val="00026238"/>
    <w:rsid w:val="00274BA0"/>
    <w:rsid w:val="002F6655"/>
    <w:rsid w:val="00362BF4"/>
    <w:rsid w:val="008316AB"/>
    <w:rsid w:val="0097591B"/>
    <w:rsid w:val="00C370E6"/>
    <w:rsid w:val="00D10E5D"/>
    <w:rsid w:val="766B0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jc w:val="left"/>
    </w:pPr>
    <w:rPr>
      <w:rFonts w:ascii="宋体" w:hAnsi="宋体" w:cs="宋体"/>
      <w:kern w:val="0"/>
      <w:sz w:val="24"/>
    </w:r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348</Words>
  <Characters>1986</Characters>
  <Lines>16</Lines>
  <Paragraphs>4</Paragraphs>
  <TotalTime>7</TotalTime>
  <ScaleCrop>false</ScaleCrop>
  <LinksUpToDate>false</LinksUpToDate>
  <CharactersWithSpaces>2330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2021-11-05T06:35:00Z</dcterms:created>
  <dc:creator>Administrator</dc:creator>
  <cp:lastModifiedBy>梁璟</cp:lastModifiedBy>
  <cp:lastPrinted>2022-01-07T08:13:00Z</cp:lastPrinted>
  <dcterms:modified xsi:type="dcterms:W3CDTF">2023-09-16T09:30:15Z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0F48EAE894C249078838FB0F7A853B2B_12</vt:lpwstr>
  </property>
</Properties>
</file>